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7306F1DC">
      <w:pPr>
        <w:jc w:val="center"/>
        <w:rPr>
          <w:rFonts w:hint="eastAsia" w:ascii="宋体" w:hAnsi="宋体" w:cs="宋体" w:eastAsiaTheme="minorEastAsia"/>
          <w:b/>
          <w:bCs/>
          <w:kern w:val="1"/>
          <w:sz w:val="40"/>
          <w:szCs w:val="40"/>
          <w:lang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38F9E9D"/>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38F9E9D"/>
                  </w:txbxContent>
                </v:textbox>
              </v:shape>
            </w:pict>
          </mc:Fallback>
        </mc:AlternateContent>
      </w:r>
      <w:r>
        <w:rPr>
          <w:rFonts w:hint="eastAsia" w:asciiTheme="minorEastAsia" w:hAnsiTheme="minorEastAsia" w:eastAsiaTheme="minorEastAsia" w:cstheme="minorEastAsia"/>
          <w:kern w:val="1"/>
          <w:sz w:val="44"/>
          <w:szCs w:val="44"/>
        </w:rPr>
        <w:t>铜陵有色凤凰山矿业有限公司相思谷尾矿库销号工程--发电机组租赁（询比采购）</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color w:val="FF0000"/>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40</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铜陵有色凤凰山矿业有限公司相思谷尾矿库销号工程--发电机组租赁（询比采购）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394540B">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铜陵有色凤凰山矿业有限公司相思谷尾矿库销号工程--发电机组租赁（询比采购）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23BEACB2">
      <w:pPr>
        <w:pStyle w:val="55"/>
        <w:spacing w:line="360" w:lineRule="auto"/>
        <w:ind w:left="0" w:leftChars="0" w:firstLine="0" w:firstLineChars="0"/>
        <w:rPr>
          <w:rFonts w:hint="eastAsia" w:ascii="仿宋" w:hAnsi="仿宋" w:eastAsia="仿宋" w:cs="仿宋"/>
          <w:sz w:val="24"/>
          <w:szCs w:val="24"/>
        </w:rPr>
      </w:pPr>
    </w:p>
    <w:p w14:paraId="39791A8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172CC1A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469CB33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bookmarkStart w:id="2" w:name="_GoBack"/>
      <w:bookmarkEnd w:id="2"/>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44B93F47">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7DE121FA">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63C6D9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工程名称：铜陵有色凤凰山矿业有限公司相思谷尾矿库销号工程</w:t>
      </w:r>
    </w:p>
    <w:p w14:paraId="26C0026C">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w:t>
      </w:r>
      <w:r>
        <w:rPr>
          <w:rFonts w:hint="eastAsia" w:ascii="仿宋" w:hAnsi="仿宋" w:eastAsia="仿宋" w:cs="仿宋"/>
          <w:sz w:val="24"/>
          <w:szCs w:val="24"/>
        </w:rPr>
        <w:t>凤凰山</w:t>
      </w:r>
      <w:r>
        <w:rPr>
          <w:rFonts w:hint="eastAsia" w:ascii="仿宋" w:hAnsi="仿宋" w:eastAsia="仿宋" w:cs="仿宋"/>
          <w:sz w:val="24"/>
          <w:szCs w:val="24"/>
          <w:lang w:val="en-US" w:eastAsia="zh-CN"/>
        </w:rPr>
        <w:t>景区内</w:t>
      </w:r>
    </w:p>
    <w:p w14:paraId="3945128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w:t>
      </w:r>
      <w:r>
        <w:rPr>
          <w:rFonts w:hint="eastAsia" w:ascii="仿宋" w:hAnsi="仿宋" w:eastAsia="仿宋" w:cs="仿宋"/>
          <w:sz w:val="24"/>
          <w:szCs w:val="24"/>
          <w:lang w:val="en-US" w:eastAsia="zh-CN"/>
        </w:rPr>
        <w:t>设备配合</w:t>
      </w:r>
      <w:r>
        <w:rPr>
          <w:rFonts w:hint="eastAsia" w:ascii="仿宋" w:hAnsi="仿宋" w:eastAsia="仿宋" w:cs="仿宋"/>
          <w:sz w:val="24"/>
          <w:szCs w:val="24"/>
        </w:rPr>
        <w:t>坝基范围内尾砂泵送</w:t>
      </w:r>
      <w:r>
        <w:rPr>
          <w:rFonts w:hint="eastAsia" w:ascii="仿宋" w:hAnsi="仿宋" w:eastAsia="仿宋" w:cs="仿宋"/>
          <w:sz w:val="24"/>
          <w:szCs w:val="24"/>
          <w:lang w:val="en-US" w:eastAsia="zh-CN"/>
        </w:rPr>
        <w:t>等</w:t>
      </w:r>
      <w:r>
        <w:rPr>
          <w:rFonts w:hint="eastAsia" w:ascii="仿宋" w:hAnsi="仿宋" w:eastAsia="仿宋" w:cs="仿宋"/>
          <w:sz w:val="24"/>
          <w:szCs w:val="24"/>
        </w:rPr>
        <w:t>施工</w:t>
      </w:r>
      <w:r>
        <w:rPr>
          <w:rFonts w:hint="eastAsia" w:ascii="仿宋" w:hAnsi="仿宋" w:eastAsia="仿宋" w:cs="仿宋"/>
          <w:sz w:val="24"/>
          <w:szCs w:val="24"/>
          <w:lang w:val="en-US" w:eastAsia="zh-CN"/>
        </w:rPr>
        <w:t>供</w:t>
      </w:r>
      <w:r>
        <w:rPr>
          <w:rFonts w:hint="eastAsia" w:ascii="仿宋" w:hAnsi="仿宋" w:eastAsia="仿宋" w:cs="仿宋"/>
          <w:sz w:val="24"/>
          <w:szCs w:val="24"/>
        </w:rPr>
        <w:t>电</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30</w:t>
      </w:r>
      <w:r>
        <w:rPr>
          <w:rFonts w:hint="eastAsia" w:ascii="仿宋" w:hAnsi="仿宋" w:eastAsia="仿宋" w:cs="仿宋"/>
          <w:sz w:val="24"/>
          <w:szCs w:val="24"/>
        </w:rPr>
        <w:t>天。（具体租期以建设单位安排的工作内容为准）</w:t>
      </w:r>
    </w:p>
    <w:p w14:paraId="61EC6149">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承租方。）</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FF0000"/>
          <w:sz w:val="24"/>
          <w:szCs w:val="24"/>
          <w:u w:val="none"/>
          <w:lang w:val="en-US" w:eastAsia="zh-CN"/>
        </w:rPr>
        <w:t>本次询比采购，</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6ABB763B">
      <w:pPr>
        <w:spacing w:line="360" w:lineRule="auto"/>
        <w:jc w:val="center"/>
        <w:rPr>
          <w:rFonts w:hint="eastAsia" w:ascii="仿宋" w:hAnsi="仿宋" w:eastAsia="仿宋" w:cs="仿宋"/>
          <w:b/>
          <w:sz w:val="24"/>
          <w:szCs w:val="24"/>
          <w:lang w:val="en-US" w:eastAsia="zh-CN"/>
        </w:rPr>
      </w:pPr>
    </w:p>
    <w:p w14:paraId="25DFE2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118B612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5824AC4">
      <w:pPr>
        <w:spacing w:line="360" w:lineRule="auto"/>
        <w:jc w:val="center"/>
        <w:rPr>
          <w:rFonts w:hint="eastAsia" w:ascii="仿宋" w:hAnsi="仿宋" w:eastAsia="仿宋" w:cs="仿宋"/>
          <w:b/>
          <w:sz w:val="24"/>
          <w:szCs w:val="24"/>
        </w:rPr>
      </w:pPr>
    </w:p>
    <w:p w14:paraId="1A35BE6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04A0F55">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5D2A87C7">
      <w:pPr>
        <w:spacing w:before="156" w:beforeLines="50" w:after="156" w:afterLines="50" w:line="360" w:lineRule="auto"/>
        <w:ind w:firstLine="490" w:firstLineChars="200"/>
        <w:rPr>
          <w:rFonts w:hint="eastAsia" w:ascii="仿宋" w:hAnsi="仿宋" w:eastAsia="仿宋" w:cs="仿宋"/>
          <w:sz w:val="24"/>
          <w:szCs w:val="24"/>
        </w:rPr>
      </w:pPr>
    </w:p>
    <w:p w14:paraId="20AF3EB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4BDE4154">
      <w:pPr>
        <w:spacing w:before="156" w:beforeLines="50" w:after="156" w:afterLines="50" w:line="360" w:lineRule="auto"/>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54D2143B">
      <w:pPr>
        <w:spacing w:line="360" w:lineRule="auto"/>
        <w:jc w:val="both"/>
        <w:rPr>
          <w:rFonts w:hint="eastAsia" w:ascii="仿宋" w:hAnsi="仿宋" w:eastAsia="仿宋" w:cs="仿宋"/>
          <w:b/>
          <w:sz w:val="24"/>
          <w:szCs w:val="24"/>
        </w:rPr>
      </w:pPr>
    </w:p>
    <w:p w14:paraId="59B3849C">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2"/>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2"/>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2"/>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2"/>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2"/>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83EDA6C">
      <w:pPr>
        <w:spacing w:line="360" w:lineRule="auto"/>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单位盖章：_________________                    </w:t>
      </w:r>
    </w:p>
    <w:p w14:paraId="7450D586">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E4166B4">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铜陵有色凤凰山矿业有限公司相思谷尾矿库销号工程--发电机组租赁 </w:t>
      </w:r>
      <w:r>
        <w:rPr>
          <w:rFonts w:hint="eastAsia" w:ascii="仿宋" w:hAnsi="仿宋" w:eastAsia="仿宋" w:cs="仿宋"/>
          <w:b/>
          <w:bCs/>
          <w:color w:val="auto"/>
          <w:sz w:val="24"/>
          <w:szCs w:val="24"/>
          <w:u w:val="none"/>
          <w:lang w:val="en-US" w:eastAsia="zh-CN" w:bidi="ar"/>
        </w:rPr>
        <w:t>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4"/>
          <w:szCs w:val="24"/>
          <w:lang w:val="en-US" w:eastAsia="zh-CN" w:bidi="ar"/>
        </w:rPr>
        <w:t xml:space="preserve">                                                                                             TGJA-JX-2026-</w:t>
      </w:r>
      <w:r>
        <w:rPr>
          <w:rFonts w:hint="eastAsia" w:ascii="仿宋" w:hAnsi="仿宋" w:eastAsia="仿宋" w:cs="仿宋"/>
          <w:b/>
          <w:bCs/>
          <w:color w:val="FF0000"/>
          <w:sz w:val="24"/>
          <w:szCs w:val="24"/>
          <w:lang w:val="en-US" w:eastAsia="zh-CN" w:bidi="ar"/>
        </w:rPr>
        <w:t xml:space="preserve">040 </w:t>
      </w:r>
      <w:r>
        <w:rPr>
          <w:rFonts w:hint="eastAsia" w:ascii="仿宋" w:hAnsi="仿宋" w:eastAsia="仿宋" w:cs="仿宋"/>
          <w:b/>
          <w:bCs/>
          <w:sz w:val="28"/>
          <w:szCs w:val="28"/>
          <w:lang w:val="en-US" w:eastAsia="zh-CN" w:bidi="ar"/>
        </w:rPr>
        <w:t xml:space="preserve">                                                                              </w:t>
      </w:r>
    </w:p>
    <w:tbl>
      <w:tblPr>
        <w:tblStyle w:val="45"/>
        <w:tblW w:w="15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09"/>
        <w:gridCol w:w="855"/>
        <w:gridCol w:w="2244"/>
        <w:gridCol w:w="885"/>
        <w:gridCol w:w="1050"/>
        <w:gridCol w:w="1800"/>
        <w:gridCol w:w="5"/>
        <w:gridCol w:w="1675"/>
        <w:gridCol w:w="1755"/>
        <w:gridCol w:w="5"/>
        <w:gridCol w:w="1801"/>
        <w:gridCol w:w="1271"/>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95"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09"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55"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w:t>
            </w:r>
            <w:r>
              <w:rPr>
                <w:rFonts w:hint="eastAsia" w:ascii="仿宋" w:hAnsi="仿宋" w:eastAsia="仿宋" w:cs="仿宋"/>
                <w:b/>
                <w:sz w:val="24"/>
                <w:szCs w:val="24"/>
                <w:lang w:val="en-US" w:eastAsia="zh-CN"/>
              </w:rPr>
              <w:t>功率</w:t>
            </w:r>
          </w:p>
        </w:tc>
        <w:tc>
          <w:tcPr>
            <w:tcW w:w="224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885" w:type="dxa"/>
            <w:vMerge w:val="restart"/>
            <w:noWrap w:val="0"/>
            <w:vAlign w:val="center"/>
          </w:tcPr>
          <w:p w14:paraId="78CF4FC2">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租赁数量</w:t>
            </w:r>
          </w:p>
        </w:tc>
        <w:tc>
          <w:tcPr>
            <w:tcW w:w="1050" w:type="dxa"/>
            <w:vMerge w:val="restart"/>
            <w:noWrap w:val="0"/>
            <w:vAlign w:val="center"/>
          </w:tcPr>
          <w:p w14:paraId="5E35EA40">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预估租赁时长</w:t>
            </w:r>
          </w:p>
        </w:tc>
        <w:tc>
          <w:tcPr>
            <w:tcW w:w="3480" w:type="dxa"/>
            <w:gridSpan w:val="3"/>
            <w:shd w:val="clear" w:color="auto" w:fill="auto"/>
            <w:noWrap w:val="0"/>
            <w:vAlign w:val="center"/>
          </w:tcPr>
          <w:p w14:paraId="1EC7AB7C">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最高限价（不含税）</w:t>
            </w:r>
          </w:p>
        </w:tc>
        <w:tc>
          <w:tcPr>
            <w:tcW w:w="3561" w:type="dxa"/>
            <w:gridSpan w:val="3"/>
            <w:shd w:val="clear" w:color="auto" w:fill="auto"/>
            <w:noWrap w:val="0"/>
            <w:vAlign w:val="center"/>
          </w:tcPr>
          <w:p w14:paraId="414D1189">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报价（含</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lang w:val="en-US" w:eastAsia="zh-CN"/>
              </w:rPr>
              <w:t>%增值税）</w:t>
            </w:r>
          </w:p>
        </w:tc>
        <w:tc>
          <w:tcPr>
            <w:tcW w:w="1271"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exact"/>
          <w:jc w:val="center"/>
        </w:trPr>
        <w:tc>
          <w:tcPr>
            <w:tcW w:w="795" w:type="dxa"/>
            <w:vMerge w:val="continue"/>
            <w:noWrap w:val="0"/>
            <w:vAlign w:val="center"/>
          </w:tcPr>
          <w:p w14:paraId="6FFD35CB">
            <w:pPr>
              <w:jc w:val="center"/>
              <w:rPr>
                <w:rFonts w:hint="eastAsia" w:ascii="仿宋" w:hAnsi="仿宋" w:eastAsia="仿宋" w:cs="仿宋"/>
                <w:b/>
                <w:sz w:val="24"/>
                <w:szCs w:val="24"/>
              </w:rPr>
            </w:pPr>
          </w:p>
        </w:tc>
        <w:tc>
          <w:tcPr>
            <w:tcW w:w="1209" w:type="dxa"/>
            <w:vMerge w:val="continue"/>
            <w:noWrap w:val="0"/>
            <w:vAlign w:val="center"/>
          </w:tcPr>
          <w:p w14:paraId="785F4B5A">
            <w:pPr>
              <w:jc w:val="center"/>
              <w:rPr>
                <w:rFonts w:hint="eastAsia" w:ascii="仿宋" w:hAnsi="仿宋" w:eastAsia="仿宋" w:cs="仿宋"/>
                <w:b/>
                <w:sz w:val="24"/>
                <w:szCs w:val="24"/>
                <w:lang w:eastAsia="zh-CN"/>
              </w:rPr>
            </w:pPr>
          </w:p>
        </w:tc>
        <w:tc>
          <w:tcPr>
            <w:tcW w:w="855" w:type="dxa"/>
            <w:vMerge w:val="continue"/>
            <w:noWrap w:val="0"/>
            <w:vAlign w:val="center"/>
          </w:tcPr>
          <w:p w14:paraId="4407F581">
            <w:pPr>
              <w:jc w:val="center"/>
              <w:rPr>
                <w:rFonts w:hint="eastAsia" w:ascii="仿宋" w:hAnsi="仿宋" w:eastAsia="仿宋" w:cs="仿宋"/>
                <w:b/>
                <w:sz w:val="24"/>
                <w:szCs w:val="24"/>
                <w:lang w:eastAsia="zh-CN"/>
              </w:rPr>
            </w:pPr>
          </w:p>
        </w:tc>
        <w:tc>
          <w:tcPr>
            <w:tcW w:w="2244" w:type="dxa"/>
            <w:vMerge w:val="continue"/>
            <w:noWrap w:val="0"/>
            <w:vAlign w:val="center"/>
          </w:tcPr>
          <w:p w14:paraId="246FD107">
            <w:pPr>
              <w:jc w:val="center"/>
              <w:rPr>
                <w:rFonts w:hint="eastAsia" w:ascii="仿宋" w:hAnsi="仿宋" w:eastAsia="仿宋" w:cs="仿宋"/>
                <w:b/>
                <w:sz w:val="24"/>
                <w:szCs w:val="24"/>
              </w:rPr>
            </w:pPr>
          </w:p>
        </w:tc>
        <w:tc>
          <w:tcPr>
            <w:tcW w:w="885" w:type="dxa"/>
            <w:vMerge w:val="continue"/>
            <w:noWrap w:val="0"/>
            <w:vAlign w:val="center"/>
          </w:tcPr>
          <w:p w14:paraId="72EDC809">
            <w:pPr>
              <w:jc w:val="center"/>
              <w:rPr>
                <w:rFonts w:hint="eastAsia" w:ascii="仿宋" w:hAnsi="仿宋" w:eastAsia="仿宋" w:cs="仿宋"/>
                <w:b/>
                <w:sz w:val="24"/>
                <w:szCs w:val="24"/>
              </w:rPr>
            </w:pPr>
          </w:p>
        </w:tc>
        <w:tc>
          <w:tcPr>
            <w:tcW w:w="1050"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800" w:type="dxa"/>
            <w:shd w:val="clear" w:color="auto" w:fill="auto"/>
            <w:noWrap w:val="0"/>
            <w:vAlign w:val="center"/>
          </w:tcPr>
          <w:p w14:paraId="5F7144CE">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进出场费单价</w:t>
            </w:r>
          </w:p>
          <w:p w14:paraId="04F24E6B">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（元/台/次）</w:t>
            </w:r>
          </w:p>
        </w:tc>
        <w:tc>
          <w:tcPr>
            <w:tcW w:w="1680" w:type="dxa"/>
            <w:gridSpan w:val="2"/>
            <w:shd w:val="clear" w:color="auto" w:fill="auto"/>
            <w:noWrap w:val="0"/>
            <w:vAlign w:val="center"/>
          </w:tcPr>
          <w:p w14:paraId="1C749357">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租赁单价</w:t>
            </w:r>
          </w:p>
          <w:p w14:paraId="0CE932D1">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（元/月/台）</w:t>
            </w:r>
          </w:p>
        </w:tc>
        <w:tc>
          <w:tcPr>
            <w:tcW w:w="1755" w:type="dxa"/>
            <w:shd w:val="clear" w:color="auto" w:fill="auto"/>
            <w:noWrap w:val="0"/>
            <w:vAlign w:val="center"/>
          </w:tcPr>
          <w:p w14:paraId="7165799B">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进出场费单价</w:t>
            </w:r>
          </w:p>
          <w:p w14:paraId="4536B46D">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（元/台/次）</w:t>
            </w:r>
          </w:p>
        </w:tc>
        <w:tc>
          <w:tcPr>
            <w:tcW w:w="1806" w:type="dxa"/>
            <w:gridSpan w:val="2"/>
            <w:shd w:val="clear" w:color="auto" w:fill="auto"/>
            <w:noWrap w:val="0"/>
            <w:vAlign w:val="center"/>
          </w:tcPr>
          <w:p w14:paraId="7DBEDE7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租赁单价</w:t>
            </w:r>
          </w:p>
          <w:p w14:paraId="2DCF6E90">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val="en-US" w:eastAsia="zh-CN"/>
              </w:rPr>
              <w:t>（元/月/台）</w:t>
            </w:r>
          </w:p>
        </w:tc>
        <w:tc>
          <w:tcPr>
            <w:tcW w:w="1271"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795"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4"/>
                <w:szCs w:val="24"/>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4"/>
                <w:szCs w:val="24"/>
                <w:highlight w:val="none"/>
                <w:lang w:val="en-US" w:eastAsia="zh-CN" w:bidi="ar-SA"/>
              </w:rPr>
              <w:t>1</w:t>
            </w:r>
          </w:p>
        </w:tc>
        <w:tc>
          <w:tcPr>
            <w:tcW w:w="1209" w:type="dxa"/>
            <w:shd w:val="clear" w:color="auto" w:fill="auto"/>
            <w:noWrap w:val="0"/>
            <w:vAlign w:val="center"/>
          </w:tcPr>
          <w:p w14:paraId="75C8C22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静音发电机组</w:t>
            </w:r>
          </w:p>
        </w:tc>
        <w:tc>
          <w:tcPr>
            <w:tcW w:w="855" w:type="dxa"/>
            <w:noWrap w:val="0"/>
            <w:vAlign w:val="center"/>
          </w:tcPr>
          <w:p w14:paraId="659AF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200KW</w:t>
            </w:r>
          </w:p>
        </w:tc>
        <w:tc>
          <w:tcPr>
            <w:tcW w:w="2244" w:type="dxa"/>
            <w:noWrap w:val="0"/>
            <w:vAlign w:val="center"/>
          </w:tcPr>
          <w:p w14:paraId="67745BA3">
            <w:pPr>
              <w:keepNext w:val="0"/>
              <w:keepLines w:val="0"/>
              <w:widowControl/>
              <w:suppressLineNumbers w:val="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4"/>
                <w:szCs w:val="24"/>
                <w:lang w:val="en-US" w:eastAsia="zh-CN"/>
              </w:rPr>
              <w:t>机械设备配合坝基范围内尾砂泵送等施工供电</w:t>
            </w:r>
          </w:p>
        </w:tc>
        <w:tc>
          <w:tcPr>
            <w:tcW w:w="885" w:type="dxa"/>
            <w:shd w:val="clear" w:color="auto" w:fill="auto"/>
            <w:noWrap w:val="0"/>
            <w:vAlign w:val="center"/>
          </w:tcPr>
          <w:p w14:paraId="4562503B">
            <w:pPr>
              <w:keepNext w:val="0"/>
              <w:keepLines w:val="0"/>
              <w:widowControl/>
              <w:suppressLineNumbers w:val="0"/>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1台</w:t>
            </w:r>
          </w:p>
        </w:tc>
        <w:tc>
          <w:tcPr>
            <w:tcW w:w="1050" w:type="dxa"/>
            <w:noWrap w:val="0"/>
            <w:vAlign w:val="center"/>
          </w:tcPr>
          <w:p w14:paraId="0C0825A2">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1个月</w:t>
            </w:r>
          </w:p>
        </w:tc>
        <w:tc>
          <w:tcPr>
            <w:tcW w:w="1800" w:type="dxa"/>
            <w:noWrap w:val="0"/>
            <w:vAlign w:val="center"/>
          </w:tcPr>
          <w:p w14:paraId="3576F19A">
            <w:pPr>
              <w:keepNext w:val="0"/>
              <w:keepLines w:val="0"/>
              <w:widowControl/>
              <w:suppressLineNumbers w:val="0"/>
              <w:jc w:val="center"/>
              <w:textAlignment w:val="center"/>
              <w:rPr>
                <w:rFonts w:hint="default" w:ascii="仿宋" w:hAnsi="仿宋" w:eastAsia="仿宋" w:cs="仿宋"/>
                <w:b w:val="0"/>
                <w:bCs/>
                <w:kern w:val="2"/>
                <w:sz w:val="21"/>
                <w:szCs w:val="21"/>
                <w:highlight w:val="none"/>
                <w:lang w:val="en-US" w:eastAsia="zh-CN" w:bidi="ar-SA"/>
              </w:rPr>
            </w:pPr>
            <w:r>
              <w:rPr>
                <w:rFonts w:hint="eastAsia" w:ascii="仿宋" w:hAnsi="仿宋" w:eastAsia="仿宋" w:cs="仿宋"/>
                <w:b w:val="0"/>
                <w:bCs/>
                <w:kern w:val="2"/>
                <w:sz w:val="21"/>
                <w:szCs w:val="21"/>
                <w:highlight w:val="none"/>
                <w:lang w:val="en-US" w:eastAsia="zh-CN" w:bidi="ar-SA"/>
              </w:rPr>
              <w:t>1400元/台/次</w:t>
            </w:r>
          </w:p>
        </w:tc>
        <w:tc>
          <w:tcPr>
            <w:tcW w:w="1680" w:type="dxa"/>
            <w:gridSpan w:val="2"/>
            <w:noWrap w:val="0"/>
            <w:vAlign w:val="center"/>
          </w:tcPr>
          <w:p w14:paraId="5AF9A906">
            <w:pPr>
              <w:keepNext w:val="0"/>
              <w:keepLines w:val="0"/>
              <w:widowControl/>
              <w:suppressLineNumbers w:val="0"/>
              <w:jc w:val="center"/>
              <w:textAlignment w:val="center"/>
              <w:rPr>
                <w:rFonts w:hint="default" w:ascii="仿宋" w:hAnsi="仿宋" w:eastAsia="仿宋" w:cs="仿宋"/>
                <w:b w:val="0"/>
                <w:bCs/>
                <w:kern w:val="2"/>
                <w:sz w:val="21"/>
                <w:szCs w:val="21"/>
                <w:highlight w:val="none"/>
                <w:lang w:val="en-US" w:eastAsia="zh-CN" w:bidi="ar-SA"/>
              </w:rPr>
            </w:pPr>
            <w:r>
              <w:rPr>
                <w:rFonts w:hint="eastAsia" w:ascii="仿宋" w:hAnsi="仿宋" w:eastAsia="仿宋" w:cs="仿宋"/>
                <w:b w:val="0"/>
                <w:bCs/>
                <w:kern w:val="2"/>
                <w:sz w:val="21"/>
                <w:szCs w:val="21"/>
                <w:highlight w:val="none"/>
                <w:lang w:val="en-US" w:eastAsia="zh-CN" w:bidi="ar-SA"/>
              </w:rPr>
              <w:t>8000</w:t>
            </w:r>
            <w:r>
              <w:rPr>
                <w:rFonts w:hint="eastAsia" w:ascii="仿宋" w:hAnsi="仿宋" w:eastAsia="仿宋" w:cs="仿宋"/>
                <w:b w:val="0"/>
                <w:bCs/>
                <w:sz w:val="24"/>
                <w:szCs w:val="24"/>
                <w:lang w:val="en-US" w:eastAsia="zh-CN"/>
              </w:rPr>
              <w:t>元/月/台</w:t>
            </w:r>
          </w:p>
        </w:tc>
        <w:tc>
          <w:tcPr>
            <w:tcW w:w="1755" w:type="dxa"/>
            <w:noWrap w:val="0"/>
            <w:vAlign w:val="center"/>
          </w:tcPr>
          <w:p w14:paraId="3290D2FF">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p>
        </w:tc>
        <w:tc>
          <w:tcPr>
            <w:tcW w:w="1806" w:type="dxa"/>
            <w:gridSpan w:val="2"/>
            <w:noWrap w:val="0"/>
            <w:vAlign w:val="center"/>
          </w:tcPr>
          <w:p w14:paraId="24BC5358">
            <w:pPr>
              <w:keepNext w:val="0"/>
              <w:keepLines w:val="0"/>
              <w:widowControl/>
              <w:suppressLineNumbers w:val="0"/>
              <w:jc w:val="center"/>
              <w:textAlignment w:val="center"/>
              <w:rPr>
                <w:rFonts w:hint="default" w:ascii="仿宋" w:hAnsi="仿宋" w:eastAsia="仿宋" w:cs="仿宋"/>
                <w:kern w:val="2"/>
                <w:sz w:val="21"/>
                <w:szCs w:val="21"/>
                <w:highlight w:val="none"/>
                <w:lang w:val="en-US" w:eastAsia="zh-CN" w:bidi="ar-SA"/>
              </w:rPr>
            </w:pPr>
          </w:p>
        </w:tc>
        <w:tc>
          <w:tcPr>
            <w:tcW w:w="1271" w:type="dxa"/>
            <w:vMerge w:val="restart"/>
            <w:noWrap w:val="0"/>
            <w:vAlign w:val="center"/>
          </w:tcPr>
          <w:p w14:paraId="2141DF9B">
            <w:pPr>
              <w:keepNext w:val="0"/>
              <w:keepLines w:val="0"/>
              <w:widowControl/>
              <w:suppressLineNumbers w:val="0"/>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1.柴油费甲方自理；2.进出场费，往返按1次结算。</w:t>
            </w: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8843" w:type="dxa"/>
            <w:gridSpan w:val="8"/>
            <w:noWrap w:val="0"/>
            <w:vAlign w:val="center"/>
          </w:tcPr>
          <w:p w14:paraId="0704A83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 w:hAnsi="仿宋" w:eastAsia="仿宋" w:cs="仿宋"/>
                <w:b/>
                <w:bCs/>
                <w:color w:val="000000"/>
                <w:sz w:val="24"/>
                <w:szCs w:val="24"/>
                <w:lang w:val="en-US" w:eastAsia="zh-CN"/>
              </w:rPr>
              <w:t>最高限价</w:t>
            </w:r>
            <w:r>
              <w:rPr>
                <w:rFonts w:hint="eastAsia" w:ascii="仿宋" w:hAnsi="仿宋" w:eastAsia="仿宋" w:cs="仿宋"/>
                <w:b/>
                <w:bCs/>
                <w:color w:val="000000"/>
                <w:sz w:val="24"/>
                <w:szCs w:val="24"/>
                <w:lang w:eastAsia="zh-CN"/>
              </w:rPr>
              <w:t>合计</w:t>
            </w:r>
          </w:p>
        </w:tc>
        <w:tc>
          <w:tcPr>
            <w:tcW w:w="1675" w:type="dxa"/>
            <w:shd w:val="clear" w:color="auto" w:fill="auto"/>
            <w:noWrap w:val="0"/>
            <w:vAlign w:val="center"/>
          </w:tcPr>
          <w:p w14:paraId="2170DFD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 w:hAnsi="仿宋" w:eastAsia="仿宋" w:cs="仿宋"/>
                <w:b/>
                <w:bCs/>
                <w:color w:val="000000"/>
                <w:sz w:val="24"/>
                <w:szCs w:val="24"/>
                <w:lang w:val="en-US" w:eastAsia="zh-CN"/>
              </w:rPr>
              <w:t>9400.00元</w:t>
            </w:r>
          </w:p>
        </w:tc>
        <w:tc>
          <w:tcPr>
            <w:tcW w:w="1760" w:type="dxa"/>
            <w:gridSpan w:val="2"/>
            <w:shd w:val="clear" w:color="auto" w:fill="auto"/>
            <w:noWrap w:val="0"/>
            <w:vAlign w:val="center"/>
          </w:tcPr>
          <w:p w14:paraId="2D53B8C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仿宋" w:hAnsi="仿宋" w:eastAsia="仿宋" w:cs="仿宋"/>
                <w:b/>
                <w:bCs/>
                <w:color w:val="000000"/>
                <w:sz w:val="24"/>
                <w:szCs w:val="24"/>
                <w:lang w:val="en-US" w:eastAsia="zh-CN"/>
              </w:rPr>
              <w:t>报价合计</w:t>
            </w:r>
          </w:p>
        </w:tc>
        <w:tc>
          <w:tcPr>
            <w:tcW w:w="1801" w:type="dxa"/>
            <w:shd w:val="clear" w:color="auto" w:fill="auto"/>
            <w:noWrap w:val="0"/>
            <w:vAlign w:val="center"/>
          </w:tcPr>
          <w:p w14:paraId="0DFEC7F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271" w:type="dxa"/>
            <w:vMerge w:val="continue"/>
            <w:noWrap w:val="0"/>
            <w:vAlign w:val="center"/>
          </w:tcPr>
          <w:p w14:paraId="76FFDDD8">
            <w:pPr>
              <w:jc w:val="center"/>
              <w:rPr>
                <w:rFonts w:hint="eastAsia" w:ascii="仿宋" w:hAnsi="仿宋" w:eastAsia="仿宋" w:cs="仿宋"/>
                <w:color w:val="000000"/>
                <w:szCs w:val="21"/>
                <w:lang w:val="en-US" w:eastAsia="zh-CN"/>
              </w:rPr>
            </w:pPr>
          </w:p>
        </w:tc>
      </w:tr>
      <w:tr w14:paraId="3BD6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5350" w:type="dxa"/>
            <w:gridSpan w:val="13"/>
            <w:noWrap w:val="0"/>
            <w:vAlign w:val="center"/>
          </w:tcPr>
          <w:p w14:paraId="47D26549">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892F658">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本工程招标的工程量，由项目部依据建设单位所提供的施工图纸进行预估，实际工作量可能会因图纸变更、现场条件等发生变化。若工程量发生减少，仍旧执行此单价，供应商需充分考虑。）</w:t>
            </w:r>
          </w:p>
          <w:p w14:paraId="6B59D147">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2"/>
                <w:sz w:val="21"/>
                <w:szCs w:val="21"/>
                <w:highlight w:val="none"/>
                <w:lang w:val="en-US" w:eastAsia="zh-CN" w:bidi="ar"/>
              </w:rPr>
              <w:t>2、</w:t>
            </w:r>
            <w:r>
              <w:rPr>
                <w:rFonts w:hint="eastAsia" w:ascii="仿宋" w:hAnsi="仿宋" w:eastAsia="仿宋" w:cs="仿宋"/>
                <w:color w:val="FF0000"/>
                <w:kern w:val="0"/>
                <w:sz w:val="21"/>
                <w:szCs w:val="21"/>
                <w:lang w:val="en-US" w:eastAsia="zh-CN" w:bidi="ar"/>
              </w:rPr>
              <w:t>结算规则：（1）租赁周期不足自然月的（即租赁起止时间未满30天），按整月租金结算；（2）租赁周期超过1个月，但未满2个月时：总费用=1个月租金+超出天数×日租金（注：超出天数按实际租赁天数计算，不足1天按1天计。日租金=合同约定月租金÷30天）。</w:t>
            </w:r>
          </w:p>
          <w:p w14:paraId="5FC72EB8">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lang w:val="en-US" w:eastAsia="zh-CN" w:bidi="ar"/>
              </w:rPr>
              <w:t>3、机械设备的租赁期限自成交人向项目部提交书面进场验收单，且经双方代表签字确认设备进场之日起算。至项目部向成交人出具书面退场确认单，且双方代表签字确认设备退场之日止。进退场手续的办理时间以双方签署的书面记录为准，作为租赁费用结算的依据。</w:t>
            </w:r>
          </w:p>
          <w:p w14:paraId="7D83445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4、</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4838C0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5、若成交人在施工过程中，对已完工程造成破坏的，须承担100%的赔偿责任。赔偿范围包括但不限于修复、返工及第三方检测等所有相关费用。</w:t>
            </w:r>
          </w:p>
          <w:p w14:paraId="34F137F1">
            <w:pPr>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6、成交人一经接到成交通知书后，应立即组织机械及人员进场，如果施工中出现不能按要求履约合同，将建立黑名单制，该成交人半年内不得参加我单位组织的工程采购。</w:t>
            </w:r>
          </w:p>
        </w:tc>
      </w:tr>
    </w:tbl>
    <w:p w14:paraId="7C91FB0B">
      <w:pPr>
        <w:spacing w:line="360" w:lineRule="auto"/>
        <w:rPr>
          <w:rFonts w:hint="default" w:ascii="仿宋" w:hAnsi="仿宋" w:eastAsia="仿宋" w:cs="仿宋"/>
          <w:sz w:val="28"/>
          <w:szCs w:val="28"/>
          <w:lang w:eastAsia="zh-CN"/>
          <w:woUserID w:val="1"/>
        </w:rPr>
      </w:pPr>
    </w:p>
    <w:p w14:paraId="742A1C2E">
      <w:pPr>
        <w:spacing w:line="36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0FA"/>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16BE5"/>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62EEC"/>
    <w:rsid w:val="01253372"/>
    <w:rsid w:val="01891B53"/>
    <w:rsid w:val="01AF2C21"/>
    <w:rsid w:val="024141DC"/>
    <w:rsid w:val="025370AD"/>
    <w:rsid w:val="027345B1"/>
    <w:rsid w:val="02CE17E8"/>
    <w:rsid w:val="03980C9F"/>
    <w:rsid w:val="03E75026"/>
    <w:rsid w:val="04CF6EEC"/>
    <w:rsid w:val="05103A0B"/>
    <w:rsid w:val="05BF33B5"/>
    <w:rsid w:val="06087AF2"/>
    <w:rsid w:val="06222576"/>
    <w:rsid w:val="067D59FE"/>
    <w:rsid w:val="06826B71"/>
    <w:rsid w:val="06FF01C2"/>
    <w:rsid w:val="07070CE0"/>
    <w:rsid w:val="07B471FE"/>
    <w:rsid w:val="07D77390"/>
    <w:rsid w:val="07F066F2"/>
    <w:rsid w:val="084A3F14"/>
    <w:rsid w:val="086F1377"/>
    <w:rsid w:val="0882554E"/>
    <w:rsid w:val="08C94FF8"/>
    <w:rsid w:val="091837BC"/>
    <w:rsid w:val="09540C99"/>
    <w:rsid w:val="0A231745"/>
    <w:rsid w:val="0A9E1234"/>
    <w:rsid w:val="0AA7731A"/>
    <w:rsid w:val="0AC0235E"/>
    <w:rsid w:val="0B181C3A"/>
    <w:rsid w:val="0B1B65D7"/>
    <w:rsid w:val="0B2B537E"/>
    <w:rsid w:val="0BAA1044"/>
    <w:rsid w:val="0BBA0AF6"/>
    <w:rsid w:val="0BEC5846"/>
    <w:rsid w:val="0BFF2A12"/>
    <w:rsid w:val="0C084B3C"/>
    <w:rsid w:val="0C3D1EB8"/>
    <w:rsid w:val="0C430B50"/>
    <w:rsid w:val="0C6241B2"/>
    <w:rsid w:val="0C742CC6"/>
    <w:rsid w:val="0D132C19"/>
    <w:rsid w:val="0D166265"/>
    <w:rsid w:val="0D2B4E23"/>
    <w:rsid w:val="0D9C49BC"/>
    <w:rsid w:val="0DCB52A1"/>
    <w:rsid w:val="0DF90060"/>
    <w:rsid w:val="0E6F3E7F"/>
    <w:rsid w:val="0E745939"/>
    <w:rsid w:val="0E8044EC"/>
    <w:rsid w:val="0E876D2F"/>
    <w:rsid w:val="0EC82FD7"/>
    <w:rsid w:val="0EF425D6"/>
    <w:rsid w:val="0F1D1B2D"/>
    <w:rsid w:val="0FB73D2F"/>
    <w:rsid w:val="0FF30378"/>
    <w:rsid w:val="100F3B6B"/>
    <w:rsid w:val="10181623"/>
    <w:rsid w:val="105C48D7"/>
    <w:rsid w:val="10F644F5"/>
    <w:rsid w:val="11052878"/>
    <w:rsid w:val="11196324"/>
    <w:rsid w:val="115B693C"/>
    <w:rsid w:val="11C444E1"/>
    <w:rsid w:val="11E20E0C"/>
    <w:rsid w:val="11F76665"/>
    <w:rsid w:val="121C60CC"/>
    <w:rsid w:val="122F7967"/>
    <w:rsid w:val="125E4C7B"/>
    <w:rsid w:val="12883761"/>
    <w:rsid w:val="12A820AD"/>
    <w:rsid w:val="12E87ED2"/>
    <w:rsid w:val="13347445"/>
    <w:rsid w:val="13904FC3"/>
    <w:rsid w:val="14AE3227"/>
    <w:rsid w:val="1500314F"/>
    <w:rsid w:val="15721970"/>
    <w:rsid w:val="15A779A4"/>
    <w:rsid w:val="16287735"/>
    <w:rsid w:val="16D01498"/>
    <w:rsid w:val="16F2389F"/>
    <w:rsid w:val="172F68A1"/>
    <w:rsid w:val="176A1687"/>
    <w:rsid w:val="178D16D0"/>
    <w:rsid w:val="17CB19B6"/>
    <w:rsid w:val="17D86D23"/>
    <w:rsid w:val="1830291B"/>
    <w:rsid w:val="184C3483"/>
    <w:rsid w:val="187417C5"/>
    <w:rsid w:val="18AF15FD"/>
    <w:rsid w:val="18F76175"/>
    <w:rsid w:val="18FE29CF"/>
    <w:rsid w:val="198C1092"/>
    <w:rsid w:val="19BD63E6"/>
    <w:rsid w:val="19CA6206"/>
    <w:rsid w:val="1A2F05AD"/>
    <w:rsid w:val="1AA2749B"/>
    <w:rsid w:val="1AE5658C"/>
    <w:rsid w:val="1B3D61D5"/>
    <w:rsid w:val="1B7B6D63"/>
    <w:rsid w:val="1B9273FE"/>
    <w:rsid w:val="1BBF797C"/>
    <w:rsid w:val="1BC81072"/>
    <w:rsid w:val="1C602FB9"/>
    <w:rsid w:val="1C865229"/>
    <w:rsid w:val="1C894C01"/>
    <w:rsid w:val="1CDA4664"/>
    <w:rsid w:val="1D4F1A4B"/>
    <w:rsid w:val="1D687F77"/>
    <w:rsid w:val="1D6F4C43"/>
    <w:rsid w:val="1DB418AE"/>
    <w:rsid w:val="1DEE2CCA"/>
    <w:rsid w:val="1E036392"/>
    <w:rsid w:val="1F0C74C8"/>
    <w:rsid w:val="1F9C6A9E"/>
    <w:rsid w:val="1FB6316D"/>
    <w:rsid w:val="20191E9C"/>
    <w:rsid w:val="2037683E"/>
    <w:rsid w:val="206C46C2"/>
    <w:rsid w:val="20F57ADE"/>
    <w:rsid w:val="21A61547"/>
    <w:rsid w:val="223A12B8"/>
    <w:rsid w:val="225C0752"/>
    <w:rsid w:val="23FC26F5"/>
    <w:rsid w:val="24433734"/>
    <w:rsid w:val="246E6DF4"/>
    <w:rsid w:val="24C148B0"/>
    <w:rsid w:val="24F240EB"/>
    <w:rsid w:val="253908EB"/>
    <w:rsid w:val="25453733"/>
    <w:rsid w:val="25590EC9"/>
    <w:rsid w:val="258A2A19"/>
    <w:rsid w:val="25F7787F"/>
    <w:rsid w:val="26211AAB"/>
    <w:rsid w:val="2670658E"/>
    <w:rsid w:val="26996894"/>
    <w:rsid w:val="26A26CEB"/>
    <w:rsid w:val="26E5365D"/>
    <w:rsid w:val="27286E69"/>
    <w:rsid w:val="274E2D73"/>
    <w:rsid w:val="277B343D"/>
    <w:rsid w:val="27D50D9F"/>
    <w:rsid w:val="27F95E40"/>
    <w:rsid w:val="28094EEC"/>
    <w:rsid w:val="280E2503"/>
    <w:rsid w:val="286B1703"/>
    <w:rsid w:val="2953641F"/>
    <w:rsid w:val="295D3061"/>
    <w:rsid w:val="29606D8E"/>
    <w:rsid w:val="299D4A4C"/>
    <w:rsid w:val="29A0718A"/>
    <w:rsid w:val="29A812EF"/>
    <w:rsid w:val="29DD03DE"/>
    <w:rsid w:val="2A1902C2"/>
    <w:rsid w:val="2A9C0C1B"/>
    <w:rsid w:val="2AEB2687"/>
    <w:rsid w:val="2BFC0FF0"/>
    <w:rsid w:val="2C64541C"/>
    <w:rsid w:val="2C7C5C8D"/>
    <w:rsid w:val="2C995D0F"/>
    <w:rsid w:val="2D3E7816"/>
    <w:rsid w:val="2D774259"/>
    <w:rsid w:val="2DC72F38"/>
    <w:rsid w:val="2EB229A3"/>
    <w:rsid w:val="2EC13E2B"/>
    <w:rsid w:val="2EE936EB"/>
    <w:rsid w:val="2F29557C"/>
    <w:rsid w:val="2F6C023B"/>
    <w:rsid w:val="30131353"/>
    <w:rsid w:val="30293393"/>
    <w:rsid w:val="30586A11"/>
    <w:rsid w:val="306204E7"/>
    <w:rsid w:val="30D974B7"/>
    <w:rsid w:val="30E96026"/>
    <w:rsid w:val="311F3E7F"/>
    <w:rsid w:val="316A07AA"/>
    <w:rsid w:val="31833619"/>
    <w:rsid w:val="31837ABD"/>
    <w:rsid w:val="322E22FE"/>
    <w:rsid w:val="325A51BE"/>
    <w:rsid w:val="325A6A70"/>
    <w:rsid w:val="3289567B"/>
    <w:rsid w:val="32B617CD"/>
    <w:rsid w:val="32B819E9"/>
    <w:rsid w:val="32FD564D"/>
    <w:rsid w:val="333663C1"/>
    <w:rsid w:val="336456CD"/>
    <w:rsid w:val="33703A4F"/>
    <w:rsid w:val="337445C0"/>
    <w:rsid w:val="339C621D"/>
    <w:rsid w:val="33D3159C"/>
    <w:rsid w:val="33E764F4"/>
    <w:rsid w:val="34284F5F"/>
    <w:rsid w:val="346848DB"/>
    <w:rsid w:val="3498562E"/>
    <w:rsid w:val="34F52A80"/>
    <w:rsid w:val="35092088"/>
    <w:rsid w:val="351849C1"/>
    <w:rsid w:val="354F3A99"/>
    <w:rsid w:val="357B16F3"/>
    <w:rsid w:val="359A53D6"/>
    <w:rsid w:val="35D5640E"/>
    <w:rsid w:val="36050FAB"/>
    <w:rsid w:val="367256CF"/>
    <w:rsid w:val="36970989"/>
    <w:rsid w:val="36EA7C97"/>
    <w:rsid w:val="373B612C"/>
    <w:rsid w:val="37AF03D6"/>
    <w:rsid w:val="37EE64F4"/>
    <w:rsid w:val="37FC4126"/>
    <w:rsid w:val="382E02B2"/>
    <w:rsid w:val="3872263A"/>
    <w:rsid w:val="38B706D0"/>
    <w:rsid w:val="38C033A5"/>
    <w:rsid w:val="38C06F01"/>
    <w:rsid w:val="38F117B0"/>
    <w:rsid w:val="39934616"/>
    <w:rsid w:val="39DC7C3B"/>
    <w:rsid w:val="3A053765"/>
    <w:rsid w:val="3A3173ED"/>
    <w:rsid w:val="3A3C2EFF"/>
    <w:rsid w:val="3A4E69FC"/>
    <w:rsid w:val="3A5B3385"/>
    <w:rsid w:val="3A7A3727"/>
    <w:rsid w:val="3AC86541"/>
    <w:rsid w:val="3AF70BD4"/>
    <w:rsid w:val="3B076549"/>
    <w:rsid w:val="3B645DB3"/>
    <w:rsid w:val="3C012768"/>
    <w:rsid w:val="3C2C5294"/>
    <w:rsid w:val="3C5B75D3"/>
    <w:rsid w:val="3C7823C8"/>
    <w:rsid w:val="3D2F0AF9"/>
    <w:rsid w:val="3DC57BD0"/>
    <w:rsid w:val="3DCC4487"/>
    <w:rsid w:val="3E164325"/>
    <w:rsid w:val="3E474521"/>
    <w:rsid w:val="3E4D56DB"/>
    <w:rsid w:val="3E927592"/>
    <w:rsid w:val="3EBE2135"/>
    <w:rsid w:val="3F185CE9"/>
    <w:rsid w:val="3F1F079B"/>
    <w:rsid w:val="3F277CDA"/>
    <w:rsid w:val="3F3D74FE"/>
    <w:rsid w:val="3F8D52CA"/>
    <w:rsid w:val="40BE01CA"/>
    <w:rsid w:val="40C47A67"/>
    <w:rsid w:val="413E130B"/>
    <w:rsid w:val="414D3E27"/>
    <w:rsid w:val="41525675"/>
    <w:rsid w:val="415E7BFF"/>
    <w:rsid w:val="41B46B47"/>
    <w:rsid w:val="41CB47B7"/>
    <w:rsid w:val="41D312A0"/>
    <w:rsid w:val="421D539D"/>
    <w:rsid w:val="424B79E0"/>
    <w:rsid w:val="4252770E"/>
    <w:rsid w:val="4253528A"/>
    <w:rsid w:val="426930CE"/>
    <w:rsid w:val="42A70A2B"/>
    <w:rsid w:val="42B75819"/>
    <w:rsid w:val="42C65A5C"/>
    <w:rsid w:val="42F63800"/>
    <w:rsid w:val="4304767F"/>
    <w:rsid w:val="433B1FA6"/>
    <w:rsid w:val="434963F7"/>
    <w:rsid w:val="439F612A"/>
    <w:rsid w:val="43C84B06"/>
    <w:rsid w:val="441344E9"/>
    <w:rsid w:val="44246EDE"/>
    <w:rsid w:val="443609BF"/>
    <w:rsid w:val="44842956"/>
    <w:rsid w:val="449E657A"/>
    <w:rsid w:val="44B922E9"/>
    <w:rsid w:val="454315E6"/>
    <w:rsid w:val="45574547"/>
    <w:rsid w:val="45EF7078"/>
    <w:rsid w:val="46045E94"/>
    <w:rsid w:val="465E02D2"/>
    <w:rsid w:val="466979AB"/>
    <w:rsid w:val="46CB2A83"/>
    <w:rsid w:val="471400CF"/>
    <w:rsid w:val="476475F1"/>
    <w:rsid w:val="47944AB8"/>
    <w:rsid w:val="47A6427C"/>
    <w:rsid w:val="486C49B0"/>
    <w:rsid w:val="48BF72F3"/>
    <w:rsid w:val="4902213E"/>
    <w:rsid w:val="490E63A6"/>
    <w:rsid w:val="499C3073"/>
    <w:rsid w:val="499D4ACB"/>
    <w:rsid w:val="49DE18DD"/>
    <w:rsid w:val="49EC0EA9"/>
    <w:rsid w:val="4A1C7E79"/>
    <w:rsid w:val="4A930919"/>
    <w:rsid w:val="4AB60164"/>
    <w:rsid w:val="4B517E8D"/>
    <w:rsid w:val="4CBA4AF2"/>
    <w:rsid w:val="4CEB320D"/>
    <w:rsid w:val="4CF17B79"/>
    <w:rsid w:val="4D0647CF"/>
    <w:rsid w:val="4D9F7BB9"/>
    <w:rsid w:val="4DBD0567"/>
    <w:rsid w:val="4DD92AE7"/>
    <w:rsid w:val="4E01203E"/>
    <w:rsid w:val="4E822997"/>
    <w:rsid w:val="4ED20DFA"/>
    <w:rsid w:val="4EF84FCB"/>
    <w:rsid w:val="4F0F5DA2"/>
    <w:rsid w:val="4F397E6D"/>
    <w:rsid w:val="504C2BE7"/>
    <w:rsid w:val="508023C1"/>
    <w:rsid w:val="50ED0658"/>
    <w:rsid w:val="50FE4613"/>
    <w:rsid w:val="51825669"/>
    <w:rsid w:val="51B00003"/>
    <w:rsid w:val="51B50E5A"/>
    <w:rsid w:val="51F67AC6"/>
    <w:rsid w:val="52534714"/>
    <w:rsid w:val="526C1FF2"/>
    <w:rsid w:val="5322748C"/>
    <w:rsid w:val="53810440"/>
    <w:rsid w:val="554830C1"/>
    <w:rsid w:val="55833339"/>
    <w:rsid w:val="55A559A5"/>
    <w:rsid w:val="56300C76"/>
    <w:rsid w:val="5641748B"/>
    <w:rsid w:val="56424FA2"/>
    <w:rsid w:val="56694C24"/>
    <w:rsid w:val="56B4262E"/>
    <w:rsid w:val="56D71B8E"/>
    <w:rsid w:val="573963A5"/>
    <w:rsid w:val="579C59EC"/>
    <w:rsid w:val="57D61E46"/>
    <w:rsid w:val="5807041D"/>
    <w:rsid w:val="583D3C73"/>
    <w:rsid w:val="583F79D3"/>
    <w:rsid w:val="58691989"/>
    <w:rsid w:val="58C048EF"/>
    <w:rsid w:val="58C6010C"/>
    <w:rsid w:val="58F960F8"/>
    <w:rsid w:val="594F7761"/>
    <w:rsid w:val="59575208"/>
    <w:rsid w:val="59672964"/>
    <w:rsid w:val="59837DAB"/>
    <w:rsid w:val="59900C4D"/>
    <w:rsid w:val="59C935F6"/>
    <w:rsid w:val="59D86349"/>
    <w:rsid w:val="5A251A57"/>
    <w:rsid w:val="5A623E64"/>
    <w:rsid w:val="5A947382"/>
    <w:rsid w:val="5ABC477B"/>
    <w:rsid w:val="5AD47530"/>
    <w:rsid w:val="5B335C56"/>
    <w:rsid w:val="5B557525"/>
    <w:rsid w:val="5C1E1084"/>
    <w:rsid w:val="5C775650"/>
    <w:rsid w:val="5C974AF9"/>
    <w:rsid w:val="5C9C18B0"/>
    <w:rsid w:val="5CA644DC"/>
    <w:rsid w:val="5CBA7F88"/>
    <w:rsid w:val="5CF3349A"/>
    <w:rsid w:val="5D2E44D2"/>
    <w:rsid w:val="5D6B1282"/>
    <w:rsid w:val="5D6F64C5"/>
    <w:rsid w:val="5E4044BD"/>
    <w:rsid w:val="5E8425FB"/>
    <w:rsid w:val="5ED81A2D"/>
    <w:rsid w:val="5EED2CA8"/>
    <w:rsid w:val="5F155949"/>
    <w:rsid w:val="5F9E593F"/>
    <w:rsid w:val="5FFE1F39"/>
    <w:rsid w:val="60065292"/>
    <w:rsid w:val="601B5879"/>
    <w:rsid w:val="607B7A2E"/>
    <w:rsid w:val="60806DF2"/>
    <w:rsid w:val="60EB4BB4"/>
    <w:rsid w:val="60F035C2"/>
    <w:rsid w:val="610267D6"/>
    <w:rsid w:val="610712C2"/>
    <w:rsid w:val="616C0C8E"/>
    <w:rsid w:val="61AB07CC"/>
    <w:rsid w:val="624F4CCE"/>
    <w:rsid w:val="626C4E3A"/>
    <w:rsid w:val="62B53CBA"/>
    <w:rsid w:val="633B489B"/>
    <w:rsid w:val="63584057"/>
    <w:rsid w:val="63715118"/>
    <w:rsid w:val="637D18D6"/>
    <w:rsid w:val="63DD2403"/>
    <w:rsid w:val="63E45615"/>
    <w:rsid w:val="642E3C33"/>
    <w:rsid w:val="646474F6"/>
    <w:rsid w:val="660D1128"/>
    <w:rsid w:val="66131908"/>
    <w:rsid w:val="66CB6466"/>
    <w:rsid w:val="66E03A9F"/>
    <w:rsid w:val="66F57FEB"/>
    <w:rsid w:val="671958AB"/>
    <w:rsid w:val="67445ADA"/>
    <w:rsid w:val="67852F40"/>
    <w:rsid w:val="67D15122"/>
    <w:rsid w:val="68761B8F"/>
    <w:rsid w:val="68E01C95"/>
    <w:rsid w:val="693602C7"/>
    <w:rsid w:val="693E20EC"/>
    <w:rsid w:val="69A43B52"/>
    <w:rsid w:val="69AD4D95"/>
    <w:rsid w:val="69E60D0A"/>
    <w:rsid w:val="6A315ABB"/>
    <w:rsid w:val="6A5A06B4"/>
    <w:rsid w:val="6A87598F"/>
    <w:rsid w:val="6A8D6CDC"/>
    <w:rsid w:val="6A9A513C"/>
    <w:rsid w:val="6AED777A"/>
    <w:rsid w:val="6B1F2406"/>
    <w:rsid w:val="6B302BB3"/>
    <w:rsid w:val="6B9B2799"/>
    <w:rsid w:val="6BA9399A"/>
    <w:rsid w:val="6C5C5C5B"/>
    <w:rsid w:val="6C717289"/>
    <w:rsid w:val="6C7F2654"/>
    <w:rsid w:val="6CA16A6E"/>
    <w:rsid w:val="6D162FB8"/>
    <w:rsid w:val="6D505D9E"/>
    <w:rsid w:val="6DBE71AC"/>
    <w:rsid w:val="6E4C64BB"/>
    <w:rsid w:val="6E804461"/>
    <w:rsid w:val="6EAE74F5"/>
    <w:rsid w:val="6EC238BC"/>
    <w:rsid w:val="6F0B6C96"/>
    <w:rsid w:val="6F2A019B"/>
    <w:rsid w:val="6F6A27B8"/>
    <w:rsid w:val="6FE32681"/>
    <w:rsid w:val="701F3363"/>
    <w:rsid w:val="703849D5"/>
    <w:rsid w:val="710870BC"/>
    <w:rsid w:val="71091B6B"/>
    <w:rsid w:val="711712EF"/>
    <w:rsid w:val="71662034"/>
    <w:rsid w:val="718C683F"/>
    <w:rsid w:val="71900E5F"/>
    <w:rsid w:val="72A20E4A"/>
    <w:rsid w:val="72F21DBC"/>
    <w:rsid w:val="73552361"/>
    <w:rsid w:val="742F60FC"/>
    <w:rsid w:val="743D52CE"/>
    <w:rsid w:val="74924E27"/>
    <w:rsid w:val="749B0247"/>
    <w:rsid w:val="74B57A97"/>
    <w:rsid w:val="75022074"/>
    <w:rsid w:val="75812F99"/>
    <w:rsid w:val="75AB7FC4"/>
    <w:rsid w:val="75BA021D"/>
    <w:rsid w:val="75EF084A"/>
    <w:rsid w:val="76257065"/>
    <w:rsid w:val="766905FD"/>
    <w:rsid w:val="766F01AC"/>
    <w:rsid w:val="76E067DC"/>
    <w:rsid w:val="76F31C74"/>
    <w:rsid w:val="77297D8C"/>
    <w:rsid w:val="779C6EAE"/>
    <w:rsid w:val="77DA2E34"/>
    <w:rsid w:val="780D7AF1"/>
    <w:rsid w:val="781C33ED"/>
    <w:rsid w:val="7833503D"/>
    <w:rsid w:val="787F1108"/>
    <w:rsid w:val="788C0D77"/>
    <w:rsid w:val="78986F77"/>
    <w:rsid w:val="78D61108"/>
    <w:rsid w:val="791E4FA3"/>
    <w:rsid w:val="793439F5"/>
    <w:rsid w:val="796E3D99"/>
    <w:rsid w:val="79951709"/>
    <w:rsid w:val="79BD5174"/>
    <w:rsid w:val="79EA1A55"/>
    <w:rsid w:val="79EE2BC7"/>
    <w:rsid w:val="7A4A42A1"/>
    <w:rsid w:val="7A4B1DC7"/>
    <w:rsid w:val="7A4D5B40"/>
    <w:rsid w:val="7A562872"/>
    <w:rsid w:val="7AB7E244"/>
    <w:rsid w:val="7AD1051F"/>
    <w:rsid w:val="7AEE7323"/>
    <w:rsid w:val="7B8D7C88"/>
    <w:rsid w:val="7C252C88"/>
    <w:rsid w:val="7C2E374F"/>
    <w:rsid w:val="7C7123FD"/>
    <w:rsid w:val="7C870086"/>
    <w:rsid w:val="7C9F3CAC"/>
    <w:rsid w:val="7CA53A11"/>
    <w:rsid w:val="7CB41EA6"/>
    <w:rsid w:val="7CE22FC4"/>
    <w:rsid w:val="7CF809B2"/>
    <w:rsid w:val="7CFE0DF7"/>
    <w:rsid w:val="7D007C96"/>
    <w:rsid w:val="7D245172"/>
    <w:rsid w:val="7E066731"/>
    <w:rsid w:val="7E81225C"/>
    <w:rsid w:val="7ECE2AEB"/>
    <w:rsid w:val="7ECE3A16"/>
    <w:rsid w:val="7F8A20A1"/>
    <w:rsid w:val="7FB64187"/>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7</Pages>
  <Words>3710</Words>
  <Characters>4081</Characters>
  <Lines>56</Lines>
  <Paragraphs>15</Paragraphs>
  <TotalTime>18</TotalTime>
  <ScaleCrop>false</ScaleCrop>
  <LinksUpToDate>false</LinksUpToDate>
  <CharactersWithSpaces>4487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梵麓</cp:lastModifiedBy>
  <cp:lastPrinted>2019-04-18T07:02:00Z</cp:lastPrinted>
  <dcterms:modified xsi:type="dcterms:W3CDTF">2026-06-11T01:28:24Z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